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1EC" w:rsidRDefault="00411D14">
      <w:r w:rsidRPr="00561C3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B849CC2" wp14:editId="797E7CBD">
            <wp:extent cx="5829300" cy="5909704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D_Mpox.tif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051" b="5769"/>
                    <a:stretch/>
                  </pic:blipFill>
                  <pic:spPr bwMode="auto">
                    <a:xfrm>
                      <a:off x="0" y="0"/>
                      <a:ext cx="5833302" cy="59137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11D14" w:rsidRDefault="00411D14" w:rsidP="00411D14">
      <w:pPr>
        <w:autoSpaceDE w:val="0"/>
        <w:autoSpaceDN w:val="0"/>
        <w:adjustRightInd w:val="0"/>
        <w:spacing w:after="0" w:line="240" w:lineRule="auto"/>
        <w:rPr>
          <w:rFonts w:ascii="NimbusRomNo9L-Regu" w:hAnsi="NimbusRomNo9L-Regu" w:cs="NimbusRomNo9L-Regu"/>
          <w:sz w:val="20"/>
          <w:szCs w:val="20"/>
        </w:rPr>
      </w:pPr>
      <w:r w:rsidRPr="00D855B6">
        <w:rPr>
          <w:rFonts w:ascii="NimbusRomNo9L-Regu" w:hAnsi="NimbusRomNo9L-Regu" w:cs="NimbusRomNo9L-Regu"/>
          <w:b/>
          <w:sz w:val="20"/>
          <w:szCs w:val="20"/>
        </w:rPr>
        <w:t>Figure S</w:t>
      </w:r>
      <w:r>
        <w:rPr>
          <w:rFonts w:ascii="NimbusRomNo9L-Regu" w:hAnsi="NimbusRomNo9L-Regu" w:cs="NimbusRomNo9L-Regu"/>
          <w:b/>
          <w:sz w:val="20"/>
          <w:szCs w:val="20"/>
        </w:rPr>
        <w:t>4</w:t>
      </w:r>
      <w:r w:rsidRPr="00D855B6">
        <w:rPr>
          <w:rFonts w:ascii="NimbusRomNo9L-Regu" w:hAnsi="NimbusRomNo9L-Regu" w:cs="NimbusRomNo9L-Regu"/>
          <w:b/>
          <w:sz w:val="20"/>
          <w:szCs w:val="20"/>
        </w:rPr>
        <w:t>.</w:t>
      </w:r>
      <w:r w:rsidRPr="00D855B6">
        <w:rPr>
          <w:rFonts w:ascii="NimbusRomNo9L-Regu" w:hAnsi="NimbusRomNo9L-Regu" w:cs="NimbusRomNo9L-Regu"/>
          <w:sz w:val="20"/>
          <w:szCs w:val="20"/>
        </w:rPr>
        <w:t xml:space="preserve"> Limit of detection (LOD) of the G2R_G (a), G2R_NML (b), and F3L (c) qPCR assays. LOD estimated by fitting positivity rates of a 10-fold serial dilution to a </w:t>
      </w:r>
      <w:proofErr w:type="spellStart"/>
      <w:proofErr w:type="gramStart"/>
      <w:r w:rsidRPr="00D855B6">
        <w:rPr>
          <w:rFonts w:ascii="NimbusRomNo9L-Regu" w:hAnsi="NimbusRomNo9L-Regu" w:cs="NimbusRomNo9L-Regu"/>
          <w:sz w:val="20"/>
          <w:szCs w:val="20"/>
        </w:rPr>
        <w:t>Probit</w:t>
      </w:r>
      <w:proofErr w:type="spellEnd"/>
      <w:proofErr w:type="gramEnd"/>
      <w:r w:rsidRPr="00D855B6">
        <w:rPr>
          <w:rFonts w:ascii="NimbusRomNo9L-Regu" w:hAnsi="NimbusRomNo9L-Regu" w:cs="NimbusRomNo9L-Regu"/>
          <w:sz w:val="20"/>
          <w:szCs w:val="20"/>
        </w:rPr>
        <w:t xml:space="preserve"> regression (solid blue line). Grey band indicates 95% confidence interval for regression fit. Grey dashed lines indicate the confidence interval (CI) for the LOD. Dashed blue line indicates a positivity rate of 95%.</w:t>
      </w:r>
    </w:p>
    <w:p w:rsidR="00411D14" w:rsidRDefault="00411D14">
      <w:bookmarkStart w:id="0" w:name="_GoBack"/>
      <w:bookmarkEnd w:id="0"/>
    </w:p>
    <w:sectPr w:rsidR="00411D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819"/>
    <w:rsid w:val="00012E59"/>
    <w:rsid w:val="003A4037"/>
    <w:rsid w:val="00411D14"/>
    <w:rsid w:val="00BE4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BAF24E"/>
  <w15:chartTrackingRefBased/>
  <w15:docId w15:val="{C6E3B616-6AA7-4142-B2B7-7ABE24B07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336</Characters>
  <Application>Microsoft Office Word</Application>
  <DocSecurity>0</DocSecurity>
  <Lines>2</Lines>
  <Paragraphs>1</Paragraphs>
  <ScaleCrop>false</ScaleCrop>
  <Company>Public Health Agency of Canada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Mathew Fisher</dc:creator>
  <cp:keywords/>
  <dc:description/>
  <cp:lastModifiedBy>Mathew Fisher</cp:lastModifiedBy>
  <cp:revision>2</cp:revision>
  <dcterms:created xsi:type="dcterms:W3CDTF">2025-03-27T13:41:00Z</dcterms:created>
  <dcterms:modified xsi:type="dcterms:W3CDTF">2025-03-27T13:42:00Z</dcterms:modified>
</cp:coreProperties>
</file>